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9F46" w14:textId="1B6CA850" w:rsidR="003937F6" w:rsidRPr="003937F6" w:rsidRDefault="003937F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37F6">
        <w:rPr>
          <w:rFonts w:ascii="Times New Roman" w:hAnsi="Times New Roman" w:cs="Times New Roman"/>
          <w:b/>
          <w:bCs/>
          <w:sz w:val="28"/>
          <w:szCs w:val="28"/>
          <w:u w:val="single"/>
        </w:rPr>
        <w:t>Sustainable Pest and Soil Management: Balancing Conservation and Agriculture</w:t>
      </w:r>
    </w:p>
    <w:p w14:paraId="08BAC144" w14:textId="77777777" w:rsidR="003937F6" w:rsidRPr="003937F6" w:rsidRDefault="003937F6" w:rsidP="003937F6">
      <w:pPr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3937F6">
        <w:rPr>
          <w:rFonts w:ascii="Times New Roman" w:hAnsi="Times New Roman" w:cs="Times New Roman"/>
          <w:b/>
          <w:bCs/>
          <w:color w:val="00B050"/>
          <w:sz w:val="26"/>
          <w:szCs w:val="26"/>
        </w:rPr>
        <w:t>Organizing Group:</w:t>
      </w:r>
    </w:p>
    <w:p w14:paraId="7F950E5D" w14:textId="77777777" w:rsidR="003937F6" w:rsidRPr="003937F6" w:rsidRDefault="003937F6" w:rsidP="003937F6">
      <w:pPr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proofErr w:type="spellStart"/>
      <w:r w:rsidRPr="003937F6">
        <w:rPr>
          <w:rFonts w:ascii="Times New Roman" w:hAnsi="Times New Roman" w:cs="Times New Roman"/>
          <w:b/>
          <w:bCs/>
          <w:color w:val="00B050"/>
          <w:sz w:val="26"/>
          <w:szCs w:val="26"/>
        </w:rPr>
        <w:t>EastBio</w:t>
      </w:r>
      <w:proofErr w:type="spellEnd"/>
      <w:r w:rsidRPr="003937F6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– Crops and Soil</w:t>
      </w:r>
    </w:p>
    <w:p w14:paraId="1454FCA0" w14:textId="77777777" w:rsidR="003937F6" w:rsidRPr="003937F6" w:rsidRDefault="003937F6" w:rsidP="003937F6">
      <w:pPr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3937F6">
        <w:rPr>
          <w:rFonts w:ascii="Times New Roman" w:hAnsi="Times New Roman" w:cs="Times New Roman"/>
          <w:b/>
          <w:bCs/>
          <w:color w:val="00B050"/>
          <w:sz w:val="26"/>
          <w:szCs w:val="26"/>
        </w:rPr>
        <w:t>Date &amp; Location:</w:t>
      </w:r>
    </w:p>
    <w:p w14:paraId="1B6C3CE6" w14:textId="635573AE" w:rsidR="003937F6" w:rsidRDefault="003937F6" w:rsidP="003937F6">
      <w:pPr>
        <w:rPr>
          <w:rFonts w:ascii="Times New Roman" w:hAnsi="Times New Roman" w:cs="Times New Roman"/>
          <w:b/>
          <w:bCs/>
        </w:rPr>
      </w:pPr>
      <w:r w:rsidRPr="003937F6">
        <w:rPr>
          <w:rFonts w:ascii="Segoe UI Emoji" w:hAnsi="Segoe UI Emoji" w:cs="Segoe UI Emoji"/>
          <w:b/>
          <w:bCs/>
        </w:rPr>
        <w:t>📍</w:t>
      </w:r>
      <w:r w:rsidRPr="003937F6">
        <w:rPr>
          <w:rFonts w:ascii="Times New Roman" w:hAnsi="Times New Roman" w:cs="Times New Roman"/>
          <w:b/>
          <w:bCs/>
        </w:rPr>
        <w:t xml:space="preserve"> Morning Session: University of Edinburgh</w:t>
      </w:r>
      <w:r w:rsidRPr="003937F6">
        <w:rPr>
          <w:rFonts w:ascii="Times New Roman" w:hAnsi="Times New Roman" w:cs="Times New Roman"/>
          <w:b/>
          <w:bCs/>
        </w:rPr>
        <w:br/>
      </w:r>
      <w:r w:rsidRPr="003937F6">
        <w:rPr>
          <w:rFonts w:ascii="Segoe UI Emoji" w:hAnsi="Segoe UI Emoji" w:cs="Segoe UI Emoji"/>
          <w:b/>
          <w:bCs/>
        </w:rPr>
        <w:t>📍</w:t>
      </w:r>
      <w:r w:rsidRPr="003937F6">
        <w:rPr>
          <w:rFonts w:ascii="Times New Roman" w:hAnsi="Times New Roman" w:cs="Times New Roman"/>
          <w:b/>
          <w:bCs/>
        </w:rPr>
        <w:t xml:space="preserve"> Afternoon Session: Royal Botanic Gardens Edinburgh</w:t>
      </w:r>
      <w:r w:rsidRPr="003937F6">
        <w:rPr>
          <w:rFonts w:ascii="Times New Roman" w:hAnsi="Times New Roman" w:cs="Times New Roman"/>
          <w:b/>
          <w:bCs/>
        </w:rPr>
        <w:br/>
      </w:r>
      <w:r>
        <w:rPr>
          <w:rFonts w:ascii="Segoe UI Symbol" w:hAnsi="Segoe UI Symbol" w:cs="Segoe UI Symbol"/>
          <w:b/>
          <w:bCs/>
        </w:rPr>
        <w:t xml:space="preserve"> </w:t>
      </w:r>
      <w:r w:rsidRPr="003937F6">
        <w:rPr>
          <w:rFonts w:ascii="Times New Roman" w:hAnsi="Times New Roman" w:cs="Times New Roman"/>
          <w:b/>
          <w:bCs/>
        </w:rPr>
        <w:t>Proposed Date Range: March 10th–14th, 2025</w:t>
      </w:r>
    </w:p>
    <w:p w14:paraId="1E9ECE88" w14:textId="7B5A2E8B" w:rsidR="003937F6" w:rsidRPr="003937F6" w:rsidRDefault="003937F6" w:rsidP="003937F6">
      <w:pPr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34525C">
        <w:rPr>
          <w:rFonts w:ascii="Times New Roman" w:hAnsi="Times New Roman" w:cs="Times New Roman"/>
          <w:b/>
          <w:bCs/>
          <w:color w:val="00B050"/>
          <w:sz w:val="26"/>
          <w:szCs w:val="26"/>
        </w:rPr>
        <w:t>Event Overview:</w:t>
      </w:r>
    </w:p>
    <w:p w14:paraId="0BA63776" w14:textId="4417E733" w:rsidR="003937F6" w:rsidRPr="003937F6" w:rsidRDefault="003937F6" w:rsidP="003937F6">
      <w:pPr>
        <w:rPr>
          <w:rFonts w:ascii="Times New Roman" w:hAnsi="Times New Roman" w:cs="Times New Roman"/>
          <w:b/>
          <w:bCs/>
        </w:rPr>
      </w:pPr>
      <w:r w:rsidRPr="003937F6">
        <w:rPr>
          <w:rFonts w:ascii="Times New Roman" w:hAnsi="Times New Roman" w:cs="Times New Roman"/>
          <w:b/>
          <w:bCs/>
        </w:rPr>
        <w:t>This thematic meeting explores the in</w:t>
      </w:r>
      <w:r>
        <w:rPr>
          <w:rFonts w:ascii="Times New Roman" w:hAnsi="Times New Roman" w:cs="Times New Roman"/>
          <w:b/>
          <w:bCs/>
        </w:rPr>
        <w:t xml:space="preserve">terconnections </w:t>
      </w:r>
      <w:r w:rsidRPr="003937F6">
        <w:rPr>
          <w:rFonts w:ascii="Times New Roman" w:hAnsi="Times New Roman" w:cs="Times New Roman"/>
          <w:b/>
          <w:bCs/>
        </w:rPr>
        <w:t>of pest management, soil health,</w:t>
      </w:r>
      <w:r>
        <w:rPr>
          <w:rFonts w:ascii="Times New Roman" w:hAnsi="Times New Roman" w:cs="Times New Roman"/>
          <w:b/>
          <w:bCs/>
        </w:rPr>
        <w:t xml:space="preserve"> in ensuring optimal conditions for</w:t>
      </w:r>
      <w:r w:rsidRPr="003937F6">
        <w:rPr>
          <w:rFonts w:ascii="Times New Roman" w:hAnsi="Times New Roman" w:cs="Times New Roman"/>
          <w:b/>
          <w:bCs/>
        </w:rPr>
        <w:t xml:space="preserve"> plant conservation</w:t>
      </w:r>
      <w:r>
        <w:rPr>
          <w:rFonts w:ascii="Times New Roman" w:hAnsi="Times New Roman" w:cs="Times New Roman"/>
          <w:b/>
          <w:bCs/>
        </w:rPr>
        <w:t xml:space="preserve">. The aim is to </w:t>
      </w:r>
      <w:r w:rsidRPr="003937F6">
        <w:rPr>
          <w:rFonts w:ascii="Times New Roman" w:hAnsi="Times New Roman" w:cs="Times New Roman"/>
          <w:b/>
          <w:bCs/>
        </w:rPr>
        <w:t xml:space="preserve">bring experts from </w:t>
      </w:r>
      <w:r>
        <w:rPr>
          <w:rFonts w:ascii="Times New Roman" w:hAnsi="Times New Roman" w:cs="Times New Roman"/>
          <w:b/>
          <w:bCs/>
        </w:rPr>
        <w:t xml:space="preserve">the </w:t>
      </w:r>
      <w:r w:rsidRPr="003937F6">
        <w:rPr>
          <w:rFonts w:ascii="Times New Roman" w:hAnsi="Times New Roman" w:cs="Times New Roman"/>
          <w:b/>
          <w:bCs/>
        </w:rPr>
        <w:t>research, conservation, and</w:t>
      </w:r>
      <w:r>
        <w:rPr>
          <w:rFonts w:ascii="Times New Roman" w:hAnsi="Times New Roman" w:cs="Times New Roman"/>
          <w:b/>
          <w:bCs/>
        </w:rPr>
        <w:t xml:space="preserve"> agricultural</w:t>
      </w:r>
      <w:r w:rsidRPr="003937F6">
        <w:rPr>
          <w:rFonts w:ascii="Times New Roman" w:hAnsi="Times New Roman" w:cs="Times New Roman"/>
          <w:b/>
          <w:bCs/>
        </w:rPr>
        <w:t xml:space="preserve"> industry. With a special focus on sustainable practices, regulatory policies, and integrated pest</w:t>
      </w:r>
      <w:r>
        <w:rPr>
          <w:rFonts w:ascii="Times New Roman" w:hAnsi="Times New Roman" w:cs="Times New Roman"/>
          <w:b/>
          <w:bCs/>
        </w:rPr>
        <w:t>/soil</w:t>
      </w:r>
      <w:r w:rsidRPr="003937F6">
        <w:rPr>
          <w:rFonts w:ascii="Times New Roman" w:hAnsi="Times New Roman" w:cs="Times New Roman"/>
          <w:b/>
          <w:bCs/>
        </w:rPr>
        <w:t xml:space="preserve"> management, the event will highlight the challenges and solutions in both agricultural and conservation settings.</w:t>
      </w:r>
    </w:p>
    <w:p w14:paraId="02AA5AA6" w14:textId="3DF303F5" w:rsidR="003937F6" w:rsidRPr="003937F6" w:rsidRDefault="003937F6" w:rsidP="003937F6">
      <w:pPr>
        <w:rPr>
          <w:rFonts w:ascii="Times New Roman" w:hAnsi="Times New Roman" w:cs="Times New Roman"/>
          <w:b/>
          <w:bCs/>
        </w:rPr>
      </w:pPr>
      <w:r w:rsidRPr="003937F6">
        <w:rPr>
          <w:rFonts w:ascii="Times New Roman" w:hAnsi="Times New Roman" w:cs="Times New Roman"/>
          <w:b/>
          <w:bCs/>
        </w:rPr>
        <w:t xml:space="preserve">The morning session will feature expert talks and discussions at the University of Edinburgh, while the afternoon will offer an immersive guided tour at the Royal Botanic Gardens Edinburgh, showcasing </w:t>
      </w:r>
      <w:r>
        <w:rPr>
          <w:rFonts w:ascii="Times New Roman" w:hAnsi="Times New Roman" w:cs="Times New Roman"/>
          <w:b/>
          <w:bCs/>
        </w:rPr>
        <w:t>how plant conservation specialists manage soil health, regulate pests, and maintain biodiversity.</w:t>
      </w:r>
    </w:p>
    <w:p w14:paraId="13A10592" w14:textId="77777777" w:rsidR="0034525C" w:rsidRPr="0034525C" w:rsidRDefault="0034525C" w:rsidP="0034525C">
      <w:pPr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34525C">
        <w:rPr>
          <w:rFonts w:ascii="Times New Roman" w:hAnsi="Times New Roman" w:cs="Times New Roman"/>
          <w:b/>
          <w:bCs/>
          <w:color w:val="00B050"/>
          <w:sz w:val="26"/>
          <w:szCs w:val="26"/>
        </w:rPr>
        <w:t>Key Discussion Topics</w:t>
      </w:r>
    </w:p>
    <w:p w14:paraId="235F6B5C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Pesticide Regulation and Biodiversity Protection</w:t>
      </w:r>
    </w:p>
    <w:p w14:paraId="1EA6808A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How institutions like the Royal Botanic Gardens regulate and manage pesticide use while ensuring biodiversity conservation.</w:t>
      </w:r>
    </w:p>
    <w:p w14:paraId="749DF8FC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Challenges in balancing pest control with environmental sustainability in conservation areas.</w:t>
      </w:r>
    </w:p>
    <w:p w14:paraId="6B65C6FE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Soil Health Management and Pesticide Breakdown</w:t>
      </w:r>
    </w:p>
    <w:p w14:paraId="3A8FEA65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The role of soil health management in optimizing plant growth and resilience.</w:t>
      </w:r>
    </w:p>
    <w:p w14:paraId="3E2002BA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How soil quality affects the breakdown of pesticide residues after application.</w:t>
      </w:r>
    </w:p>
    <w:p w14:paraId="6D1571D5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The role of soil microbiota and nutrient recycling in degrading pesticides and maintaining soil fertility.</w:t>
      </w:r>
    </w:p>
    <w:p w14:paraId="6ABCF788" w14:textId="3BBFB1A4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 xml:space="preserve">What </w:t>
      </w:r>
      <w:r w:rsidRPr="0034525C">
        <w:rPr>
          <w:rFonts w:ascii="Times New Roman" w:hAnsi="Times New Roman" w:cs="Times New Roman"/>
          <w:b/>
          <w:bCs/>
        </w:rPr>
        <w:t>different soil types influence pest populations and plant health.</w:t>
      </w:r>
    </w:p>
    <w:p w14:paraId="6E70FFAF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Pesticide Policies in Conservation Areas</w:t>
      </w:r>
    </w:p>
    <w:p w14:paraId="000DD045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lastRenderedPageBreak/>
        <w:t>Regulations and guidelines governing pesticide use in conservation spaces, such as botanic gardens.</w:t>
      </w:r>
    </w:p>
    <w:p w14:paraId="2CFB8590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Comparing pest control policies in conservation areas vs. agricultural systems.</w:t>
      </w:r>
    </w:p>
    <w:p w14:paraId="483FBC61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Alternative Pest Control Methods</w:t>
      </w:r>
    </w:p>
    <w:p w14:paraId="502ABF43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The use of natural and biological pest controls as alternatives to synthetic pesticides.</w:t>
      </w:r>
    </w:p>
    <w:p w14:paraId="12F84802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Plant-based repellents: effectiveness, benefits, and limitations.</w:t>
      </w:r>
    </w:p>
    <w:p w14:paraId="59EF1FF5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Potential challenges in implementing biological pest control in managed conservation spaces.</w:t>
      </w:r>
    </w:p>
    <w:p w14:paraId="45A9F2CA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Pest Management in Public Green Spaces and Controlled Environments</w:t>
      </w:r>
    </w:p>
    <w:p w14:paraId="23D401BB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Unique challenges of pest management in botanic gardens and urban green spaces.</w:t>
      </w:r>
    </w:p>
    <w:p w14:paraId="17532E50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Best practices for pest control in enclosed environments like greenhouses and controlled ecosystems.</w:t>
      </w:r>
    </w:p>
    <w:p w14:paraId="6D24828F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Climate Change and Pest Pressures</w:t>
      </w:r>
    </w:p>
    <w:p w14:paraId="2CB19D70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How shifting environmental conditions affect pest populations and plant health.</w:t>
      </w:r>
    </w:p>
    <w:p w14:paraId="34F1A456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Future risks of climate change on soil composition, biodiversity, and pest control strategies.</w:t>
      </w:r>
    </w:p>
    <w:p w14:paraId="353A3822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Soil Types and Their Influence on Plant Health &amp; Pest Management</w:t>
      </w:r>
    </w:p>
    <w:p w14:paraId="15882F5F" w14:textId="3269D4DE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What</w:t>
      </w:r>
      <w:r w:rsidRPr="0034525C">
        <w:rPr>
          <w:rFonts w:ascii="Times New Roman" w:hAnsi="Times New Roman" w:cs="Times New Roman"/>
          <w:b/>
          <w:bCs/>
        </w:rPr>
        <w:t xml:space="preserve"> different soil compositions impact plant resilience against pests.</w:t>
      </w:r>
    </w:p>
    <w:p w14:paraId="248DF9C6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The role of soil pH, nutrients, and organic matter in influencing pest resistance and plant growth.</w:t>
      </w:r>
    </w:p>
    <w:p w14:paraId="75B3E57C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Key Pests and Their Impact on Biodiversity and Conservation</w:t>
      </w:r>
    </w:p>
    <w:p w14:paraId="1177CDF8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Identification of major pests that threaten plant diversity in conservation spaces.</w:t>
      </w:r>
    </w:p>
    <w:p w14:paraId="3C2569C0" w14:textId="013D3B8B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 xml:space="preserve">How pests disrupt ecosystem </w:t>
      </w:r>
      <w:r w:rsidRPr="0034525C">
        <w:rPr>
          <w:rFonts w:ascii="Times New Roman" w:hAnsi="Times New Roman" w:cs="Times New Roman"/>
          <w:b/>
          <w:bCs/>
        </w:rPr>
        <w:t>balance,</w:t>
      </w:r>
      <w:r w:rsidRPr="0034525C">
        <w:rPr>
          <w:rFonts w:ascii="Times New Roman" w:hAnsi="Times New Roman" w:cs="Times New Roman"/>
          <w:b/>
          <w:bCs/>
        </w:rPr>
        <w:t xml:space="preserve"> and the strategies used to mitigate their effects.</w:t>
      </w:r>
    </w:p>
    <w:p w14:paraId="0256CF9C" w14:textId="77777777" w:rsidR="0034525C" w:rsidRPr="0034525C" w:rsidRDefault="0034525C" w:rsidP="0034525C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Future of Conservation Spaces like Botanic Gardens</w:t>
      </w:r>
    </w:p>
    <w:p w14:paraId="57673384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t>What does the future hold for plant conservation spaces in the face of climate change, urbanization, and environmental shifts?</w:t>
      </w:r>
    </w:p>
    <w:p w14:paraId="2D30305D" w14:textId="77777777" w:rsidR="0034525C" w:rsidRPr="0034525C" w:rsidRDefault="0034525C" w:rsidP="0034525C">
      <w:pPr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34525C">
        <w:rPr>
          <w:rFonts w:ascii="Times New Roman" w:hAnsi="Times New Roman" w:cs="Times New Roman"/>
          <w:b/>
          <w:bCs/>
        </w:rPr>
        <w:lastRenderedPageBreak/>
        <w:t>Innovations in pest and soil management that could shape the future of botanical conservation.</w:t>
      </w:r>
    </w:p>
    <w:p w14:paraId="5F4BB755" w14:textId="77777777" w:rsidR="003937F6" w:rsidRPr="003937F6" w:rsidRDefault="003937F6">
      <w:pPr>
        <w:rPr>
          <w:rFonts w:ascii="Times New Roman" w:hAnsi="Times New Roman" w:cs="Times New Roman"/>
          <w:b/>
          <w:bCs/>
        </w:rPr>
      </w:pPr>
    </w:p>
    <w:sectPr w:rsidR="003937F6" w:rsidRPr="00393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6B3F"/>
    <w:multiLevelType w:val="multilevel"/>
    <w:tmpl w:val="2064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35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F6"/>
    <w:rsid w:val="0034525C"/>
    <w:rsid w:val="003937F6"/>
    <w:rsid w:val="009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688B"/>
  <w15:chartTrackingRefBased/>
  <w15:docId w15:val="{D7FA6D19-91DD-4306-97C9-F1733E0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Osagiede</dc:creator>
  <cp:keywords/>
  <dc:description/>
  <cp:lastModifiedBy>Joshua Osagiede</cp:lastModifiedBy>
  <cp:revision>1</cp:revision>
  <dcterms:created xsi:type="dcterms:W3CDTF">2025-02-18T18:00:00Z</dcterms:created>
  <dcterms:modified xsi:type="dcterms:W3CDTF">2025-02-18T18:19:00Z</dcterms:modified>
</cp:coreProperties>
</file>